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8B51">
      <w:r>
        <w:rPr>
          <w:rFonts w:hint="eastAsia"/>
        </w:rPr>
        <w:t>https://mp.weixin.qq.com/s/Zt_cRK0kjJI1C4Px8OVTAQ</w:t>
      </w:r>
    </w:p>
    <w:p w14:paraId="0F5D24C7">
      <w:r>
        <w:drawing>
          <wp:inline distT="0" distB="0" distL="114300" distR="114300">
            <wp:extent cx="5270500" cy="7010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第二十八届中国科协年会 “绿色高性能</w:t>
      </w:r>
    </w:p>
    <w:p w14:paraId="74FB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计算技术”专题征稿通知</w:t>
      </w:r>
      <w:bookmarkEnd w:id="0"/>
    </w:p>
    <w:p w14:paraId="056D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 w14:paraId="47DB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为全面贯彻落实党的二十大和二十届历次全会精神，锚定高水平科技自立自强战略目标，发挥科协组织独特优势，大力繁荣学术，中国科协拟围绕“抢占制高点 催生新动能 为中国式现代化提供科技支撑”主题，于2026年7月在北京组织实施第二十八届中国科协年会系列学术活动。中国科协信息科技联合体牵头承办，由中国通信学会、中国电子学会、中国宇航学会、中国光学学会，联合国家战略科技力量，拟于2026年7月在北京·中国科技会堂举办“绿色高性能计算技术”专题论坛。</w:t>
      </w:r>
    </w:p>
    <w:p w14:paraId="44AB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本专题聚焦高性能计算领域的绿色化、低碳化、高效化转型，围绕生成式人工智能优化、新型计算架构、算力能耗优化、低碳算力架构、高效能计算算法、可再生能源适配、全生命周期低碳管理等核心方向，征集前沿学术成果、关键技术突破、工程实践案例与产业落地方案，推动绿色高性能计算技术在科研、工业、政务、人工智能等场景的深度应用，助力国家“双碳”战略与数字经济高质量发展。</w:t>
      </w:r>
    </w:p>
    <w:p w14:paraId="321C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现面向信息科技领域开展“绿色高性能计算技术”专题论文征集工作。本次征文聚焦绿色高性能计算前沿学术成果、关键技术突破、工程实践案例与产业落地方案，并为各类创新主体提供展示和交流平台。</w:t>
      </w:r>
    </w:p>
    <w:p w14:paraId="0220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一、本次征文主题包括但不限于以下方向</w:t>
      </w:r>
    </w:p>
    <w:p w14:paraId="0A5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1. 绿色高性能计算机体系结构</w:t>
      </w:r>
    </w:p>
    <w:p w14:paraId="05B7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低功耗高性能处理器、加速器架构设计与优化技术</w:t>
      </w:r>
    </w:p>
    <w:p w14:paraId="18466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低碳高密度算力集群、模块化数据中心与液冷/风冷节能散热技术</w:t>
      </w:r>
    </w:p>
    <w:p w14:paraId="1903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存算一体、近数据计算等低功耗计算范式与硬件实现</w:t>
      </w:r>
    </w:p>
    <w:p w14:paraId="44DC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可再生能源驱动的高性能计算系统适配与供电架构优化</w:t>
      </w:r>
    </w:p>
    <w:p w14:paraId="0B87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废旧算力硬件资源化利用、全生命周期低碳硬件设计</w:t>
      </w:r>
    </w:p>
    <w:p w14:paraId="01E75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2. 高效能计算算法与软件栈优化</w:t>
      </w:r>
    </w:p>
    <w:p w14:paraId="1DEC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低功耗并行计算模型、算法设计与能耗均衡调度策略</w:t>
      </w:r>
    </w:p>
    <w:p w14:paraId="528A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AI大模型、科学计算场景下的节能型算法与轻量化优化技术</w:t>
      </w:r>
    </w:p>
    <w:p w14:paraId="6DEE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绿色高性能计算操作系统、编译器与中间件节能优化</w:t>
      </w:r>
    </w:p>
    <w:p w14:paraId="570E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算力负载动态调度、能耗-性能协同优化算法与智能管控</w:t>
      </w:r>
    </w:p>
    <w:p w14:paraId="597B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异构计算平台下的能效最优任务分配与资源管理技术</w:t>
      </w:r>
    </w:p>
    <w:p w14:paraId="6E58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3. 绿色算力网络与数据中心低碳运营</w:t>
      </w:r>
    </w:p>
    <w:p w14:paraId="15A2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算力网络节能路由、低损耗数据传输与跨域算力低碳调度</w:t>
      </w:r>
    </w:p>
    <w:p w14:paraId="7826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超算中心、智算中心能耗监测、碳足迹核算与能效评估体系</w:t>
      </w:r>
    </w:p>
    <w:p w14:paraId="420D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绿色数据中心智能运维、余热回收与综合能源利用技术</w:t>
      </w:r>
    </w:p>
    <w:p w14:paraId="1FA3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边缘计算与云计算协同的低碳算力分发与资源共享机制</w:t>
      </w:r>
    </w:p>
    <w:p w14:paraId="4F4B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高性能计算系统能效标准、评价指标与低碳认证体系研究</w:t>
      </w:r>
    </w:p>
    <w:p w14:paraId="2C69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4. 绿色高性能计算场景应用与产业实践</w:t>
      </w:r>
    </w:p>
    <w:p w14:paraId="001B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科学计算、气象预报、生物医药、航空航天等领域绿色超算应用</w:t>
      </w:r>
    </w:p>
    <w:p w14:paraId="65F4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工业仿真、智能制造、智慧城市场景下的低碳高效算力解决方案</w:t>
      </w:r>
    </w:p>
    <w:p w14:paraId="0002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AI训练与推理、大数据分析的绿色高性能计算落地案例</w:t>
      </w:r>
    </w:p>
    <w:p w14:paraId="19BD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“东数西算”国家战略下绿色算力枢纽建设与优化实践</w:t>
      </w:r>
    </w:p>
    <w:p w14:paraId="5290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绿色高性能计算产业生态构建、技术转化与商业化推广</w:t>
      </w:r>
    </w:p>
    <w:p w14:paraId="10C3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5. 前沿交叉与未来技术展望</w:t>
      </w:r>
    </w:p>
    <w:p w14:paraId="7B7B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双碳目标下高性能计算产业政策、标准体系与发展规划研究</w:t>
      </w:r>
    </w:p>
    <w:p w14:paraId="1670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绿色高性能计算安全、可靠性与能效协同提升技术</w:t>
      </w:r>
    </w:p>
    <w:p w14:paraId="3C634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全球绿色算力发展趋势、技术壁垒与国产化突破路径</w:t>
      </w:r>
    </w:p>
    <w:p w14:paraId="0890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二、征文要求</w:t>
      </w:r>
    </w:p>
    <w:p w14:paraId="7C5E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1.论文应为原创性研究成果，内容具有创新性、学术性和前瞻性。</w:t>
      </w:r>
    </w:p>
    <w:p w14:paraId="7138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2.征集论文包括研究性论文与综述性论文，重点围绕可信高效人工智能技术及应用。</w:t>
      </w:r>
    </w:p>
    <w:p w14:paraId="0495E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.论文未曾公开发表，符合学术规范。论文应包括题目、作者信息、摘要、关键词、正文和参考文献，采用word排版，体例格式请参考以下合作期刊中，你期望发表期刊的近期文章格式。请作者在论文首页题目上方，标注“期望发表期刊顺序”。</w:t>
      </w:r>
    </w:p>
    <w:p w14:paraId="7105C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三、出版合作期刊</w:t>
      </w:r>
    </w:p>
    <w:p w14:paraId="775A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英文期刊：《SCIENCE CHINA Information Sciences》（SCI）、《ENGINEERING Information Technology &amp; Electronic Engineering，工程·信息与电子工程（英文），简称EITEE》（SCI）、《China Communications》（SCI）、《Digital Communications and Networks》（SCI）、《The Journal of China Universities of Posts and Telecommunications》（EI）、《Journal of Information and Intelligence》（中国科技期刊卓越行动计划高起点新刊）。</w:t>
      </w:r>
    </w:p>
    <w:p w14:paraId="6C15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中文期刊：《通信学报》（EI）,《北京邮电大学学报》（EI）、《西安电子科技大学学报（自然科学版）》（EI）、《电子科技大学学报》（EI）、《中国科学：信息科学》（北大核心）、《中兴通讯技术》（北大核心）。</w:t>
      </w:r>
    </w:p>
    <w:p w14:paraId="077D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四、投稿时间与方式</w:t>
      </w:r>
    </w:p>
    <w:p w14:paraId="6050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1.征文提交截止日期： 2026年5月15日。</w:t>
      </w:r>
    </w:p>
    <w:p w14:paraId="5EC8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2.评审结果通知： 2026年6月14日。</w:t>
      </w:r>
    </w:p>
    <w:p w14:paraId="104A4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3.论文发表时间：2026年10月前。</w:t>
      </w:r>
    </w:p>
    <w:p w14:paraId="6D54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4.稿件提交方式：请将论文以电子邮件形式提交至cgzj@china-cic.cn，邮件标题请注明“论文题目——科协年会可绿色高性能计算技术专题”。已投期刊系统，无需重复再投。</w:t>
      </w:r>
    </w:p>
    <w:p w14:paraId="7E93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五、投稿须知</w:t>
      </w:r>
    </w:p>
    <w:p w14:paraId="00E4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1.所有投稿论文将经过学术委员会初审，结合论文学术水平和作者投稿期刊意愿，推送到相应合作期刊进行同行评审，评审通过的论文将在对应的合作期刊发表。</w:t>
      </w:r>
    </w:p>
    <w:p w14:paraId="1661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2.学术委员会将对所有录取论文再次进行评审遴选，优秀论文将被推荐为第28届中国科协年会百篇最具影响力的学术论文。</w:t>
      </w:r>
    </w:p>
    <w:p w14:paraId="42C63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3.所有未录用的稿件不收取任何费用；录用稿件，版权归期刊所有，作者将按对应发表期刊规定支付发表费用。</w:t>
      </w:r>
    </w:p>
    <w:p w14:paraId="21D3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六、联系方式</w:t>
      </w:r>
    </w:p>
    <w:p w14:paraId="4C01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联系人：胡老师</w:t>
      </w:r>
    </w:p>
    <w:p w14:paraId="64E2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电话：010-68203018</w:t>
      </w:r>
    </w:p>
    <w:p w14:paraId="1CABD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热忱欢迎本领域和相关交叉学科领域的专家、学者积极撰写相关文章，踊跃投稿，共同推动绿色高性能计算技术的发展。</w:t>
      </w:r>
    </w:p>
    <w:p w14:paraId="6C24A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2026-04-15T01:31:54Z</dcterms:created>
  <dc:creator>74295</dc:creator>
  <cp:lastModifiedBy>龙五</cp:lastModifiedBy>
  <dcterms:modified xsi:type="dcterms:W3CDTF">2026-04-15T01:32:09Z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eyJoZGlkIjoiY2RkNDdmZmFhNzdkYmVjY2Q0OWQyNTMxYzFjM2E3ZDEiLCJ1c2VySWQiOiI2NjI3NDM1NTMifQ==</vt:lpwstr>
  </property>
  <property fmtid="{D5CDD505-2E9C-101B-9397-08002B2CF9AE}" pid="4" name="ICV">
    <vt:lpwstr>C25F65D1696C4B768E43DFED74FB5C1E_12</vt:lpwstr>
  </property>
</Properties>
</file>